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65195" w14:textId="7C5AF97C" w:rsidR="004F6165" w:rsidRPr="004F6165" w:rsidRDefault="004F6165" w:rsidP="004F6165">
      <w:pPr>
        <w:spacing w:before="100" w:beforeAutospacing="1" w:after="100" w:afterAutospacing="1" w:line="240" w:lineRule="auto"/>
        <w:jc w:val="both"/>
        <w:rPr>
          <w:rFonts w:ascii="Arial" w:hAnsi="Arial" w:cs="Arial"/>
          <w:b/>
          <w:bCs/>
        </w:rPr>
      </w:pPr>
      <w:r w:rsidRPr="004F6165">
        <w:rPr>
          <w:rFonts w:ascii="Arial" w:hAnsi="Arial" w:cs="Arial"/>
          <w:b/>
          <w:bCs/>
        </w:rPr>
        <w:t>2025ER22221// PROPOSICIÓN 646 DE 2025// CONCEJO DE BOGOTÁ// BANCADA PARTIDO LIBERAL COLOMBIANO// VIH</w:t>
      </w:r>
    </w:p>
    <w:p w14:paraId="39A54E5C" w14:textId="3B02A5B7" w:rsidR="004F6165" w:rsidRDefault="004F6165" w:rsidP="004F6165">
      <w:pPr>
        <w:spacing w:before="100" w:beforeAutospacing="1" w:after="100" w:afterAutospacing="1" w:line="240" w:lineRule="auto"/>
        <w:jc w:val="both"/>
        <w:rPr>
          <w:rFonts w:ascii="Arial" w:hAnsi="Arial" w:cs="Arial"/>
          <w:b/>
          <w:bCs/>
          <w:i/>
          <w:iCs/>
        </w:rPr>
      </w:pPr>
      <w:r>
        <w:rPr>
          <w:rFonts w:ascii="Arial" w:hAnsi="Arial" w:cs="Arial"/>
          <w:b/>
          <w:bCs/>
        </w:rPr>
        <w:t>Sobre prevención y diagnóstico</w:t>
      </w:r>
    </w:p>
    <w:p w14:paraId="22BD45DC" w14:textId="4B64C8F9" w:rsidR="004F6165" w:rsidRPr="004F6165" w:rsidRDefault="004F6165" w:rsidP="004F6165">
      <w:pPr>
        <w:spacing w:before="100" w:beforeAutospacing="1" w:after="100" w:afterAutospacing="1" w:line="240" w:lineRule="auto"/>
        <w:jc w:val="both"/>
        <w:rPr>
          <w:rFonts w:ascii="Arial" w:hAnsi="Arial" w:cs="Arial"/>
          <w:b/>
          <w:bCs/>
          <w:i/>
          <w:iCs/>
        </w:rPr>
      </w:pPr>
      <w:r w:rsidRPr="004F6165">
        <w:rPr>
          <w:rFonts w:ascii="Arial" w:hAnsi="Arial" w:cs="Arial"/>
          <w:b/>
          <w:bCs/>
          <w:i/>
          <w:iCs/>
        </w:rPr>
        <w:t>¿Qué acciones se han tomado para prevenir el VIH en jóvenes, adolescentes y población escolarizada?</w:t>
      </w:r>
    </w:p>
    <w:p w14:paraId="30AE8A74" w14:textId="20D86D2C" w:rsidR="000D47A0" w:rsidRPr="000D47A0" w:rsidRDefault="000D47A0" w:rsidP="000D47A0">
      <w:pPr>
        <w:spacing w:before="100" w:beforeAutospacing="1" w:after="100" w:afterAutospacing="1" w:line="240" w:lineRule="auto"/>
        <w:jc w:val="both"/>
        <w:rPr>
          <w:rFonts w:ascii="Arial" w:eastAsia="Times New Roman" w:hAnsi="Arial" w:cs="Arial"/>
          <w:spacing w:val="-2"/>
          <w:lang w:eastAsia="ar-SA"/>
        </w:rPr>
      </w:pPr>
      <w:r w:rsidRPr="00251F55">
        <w:rPr>
          <w:rFonts w:ascii="Arial" w:hAnsi="Arial" w:cs="Arial"/>
          <w:b/>
          <w:bCs/>
        </w:rPr>
        <w:t>Respuesta</w:t>
      </w:r>
      <w:r w:rsidRPr="000D47A0">
        <w:rPr>
          <w:rFonts w:ascii="Arial" w:hAnsi="Arial" w:cs="Arial"/>
        </w:rPr>
        <w:t xml:space="preserve">: </w:t>
      </w:r>
      <w:r w:rsidR="00855E5A">
        <w:rPr>
          <w:rFonts w:ascii="Arial" w:hAnsi="Arial" w:cs="Arial"/>
        </w:rPr>
        <w:t>L</w:t>
      </w:r>
      <w:r w:rsidRPr="000D47A0">
        <w:rPr>
          <w:rFonts w:ascii="Arial" w:eastAsia="Times New Roman" w:hAnsi="Arial" w:cs="Arial"/>
          <w:spacing w:val="-2"/>
          <w:lang w:eastAsia="ar-SA"/>
        </w:rPr>
        <w:t>a Resolución 3280 de 2018</w:t>
      </w:r>
      <w:r w:rsidR="00251F55">
        <w:rPr>
          <w:rFonts w:ascii="Arial" w:eastAsia="Times New Roman" w:hAnsi="Arial" w:cs="Arial"/>
          <w:spacing w:val="-2"/>
          <w:lang w:eastAsia="ar-SA"/>
        </w:rPr>
        <w:t xml:space="preserve">, </w:t>
      </w:r>
      <w:r w:rsidR="00251F55" w:rsidRPr="00251F55">
        <w:rPr>
          <w:rFonts w:ascii="Arial" w:eastAsia="Times New Roman" w:hAnsi="Arial" w:cs="Arial"/>
          <w:i/>
          <w:iCs/>
          <w:spacing w:val="-2"/>
          <w:lang w:eastAsia="ar-SA"/>
        </w:rPr>
        <w:t>por medio de la cual se adoptan los lineamientos técnicos y operativos de la Ruta Integral de Atención para la Promoción y Mantenimiento de la Salud y la Ruta Integral de Atención en Salud para la Población Materno Perinatal y se establecen las directrices para su operación</w:t>
      </w:r>
      <w:r w:rsidR="00AF652F">
        <w:rPr>
          <w:rFonts w:ascii="Arial" w:eastAsia="Times New Roman" w:hAnsi="Arial" w:cs="Arial"/>
          <w:spacing w:val="-2"/>
          <w:lang w:eastAsia="ar-SA"/>
        </w:rPr>
        <w:t>, establece las intervenciones individuales para la valoración integral, la detección temprana de riesgos en salud, la protección específica en salud y la educación para la salud</w:t>
      </w:r>
      <w:r w:rsidRPr="000D47A0">
        <w:rPr>
          <w:rFonts w:ascii="Arial" w:eastAsia="Times New Roman" w:hAnsi="Arial" w:cs="Arial"/>
          <w:spacing w:val="-2"/>
          <w:lang w:eastAsia="ar-SA"/>
        </w:rPr>
        <w:t xml:space="preserve">. </w:t>
      </w:r>
      <w:r w:rsidR="00251F55">
        <w:rPr>
          <w:rFonts w:ascii="Arial" w:eastAsia="Times New Roman" w:hAnsi="Arial" w:cs="Arial"/>
          <w:spacing w:val="-2"/>
          <w:lang w:eastAsia="ar-SA"/>
        </w:rPr>
        <w:t>Este acto administrativo hace un llamado a todos los actores de la atención en salud</w:t>
      </w:r>
      <w:r w:rsidR="00AF652F">
        <w:rPr>
          <w:rFonts w:ascii="Arial" w:eastAsia="Times New Roman" w:hAnsi="Arial" w:cs="Arial"/>
          <w:spacing w:val="-2"/>
          <w:lang w:eastAsia="ar-SA"/>
        </w:rPr>
        <w:t xml:space="preserve"> para que,</w:t>
      </w:r>
      <w:r w:rsidR="00251F55">
        <w:rPr>
          <w:rFonts w:ascii="Arial" w:eastAsia="Times New Roman" w:hAnsi="Arial" w:cs="Arial"/>
          <w:spacing w:val="-2"/>
          <w:lang w:eastAsia="ar-SA"/>
        </w:rPr>
        <w:t xml:space="preserve"> </w:t>
      </w:r>
      <w:r w:rsidRPr="000D47A0">
        <w:rPr>
          <w:rFonts w:ascii="Arial" w:eastAsia="Times New Roman" w:hAnsi="Arial" w:cs="Arial"/>
          <w:spacing w:val="-2"/>
          <w:lang w:eastAsia="ar-SA"/>
        </w:rPr>
        <w:t xml:space="preserve">en el marco de sus competencias, </w:t>
      </w:r>
      <w:r w:rsidR="00251F55">
        <w:rPr>
          <w:rFonts w:ascii="Arial" w:eastAsia="Times New Roman" w:hAnsi="Arial" w:cs="Arial"/>
          <w:spacing w:val="-2"/>
          <w:lang w:eastAsia="ar-SA"/>
        </w:rPr>
        <w:t xml:space="preserve">adapten </w:t>
      </w:r>
      <w:r w:rsidRPr="000D47A0">
        <w:rPr>
          <w:rFonts w:ascii="Arial" w:eastAsia="Times New Roman" w:hAnsi="Arial" w:cs="Arial"/>
          <w:spacing w:val="-2"/>
          <w:lang w:eastAsia="ar-SA"/>
        </w:rPr>
        <w:t>la atención en salud en función de las condiciones de los ámbitos territoriales urbanos, de alta ruralidad y dispersos, así como de los diferentes grupos poblacionales que define la normativa, conforme con lo dispuesto en los lineamientos técnicos y operativos de estas rutas.</w:t>
      </w:r>
    </w:p>
    <w:p w14:paraId="33024E19" w14:textId="5FF8E2B7" w:rsidR="000D47A0" w:rsidRPr="000D47A0" w:rsidRDefault="00AF652F" w:rsidP="000D47A0">
      <w:pPr>
        <w:spacing w:before="100" w:beforeAutospacing="1" w:after="100" w:afterAutospacing="1" w:line="240" w:lineRule="auto"/>
        <w:jc w:val="both"/>
        <w:rPr>
          <w:rFonts w:ascii="Arial" w:eastAsia="Times New Roman" w:hAnsi="Arial" w:cs="Arial"/>
          <w:spacing w:val="-2"/>
          <w:lang w:eastAsia="ar-SA"/>
        </w:rPr>
      </w:pPr>
      <w:r>
        <w:rPr>
          <w:rFonts w:ascii="Arial" w:eastAsia="Times New Roman" w:hAnsi="Arial" w:cs="Arial"/>
          <w:spacing w:val="-2"/>
          <w:lang w:eastAsia="ar-SA"/>
        </w:rPr>
        <w:t>La Resolución previamente citada</w:t>
      </w:r>
      <w:r w:rsidR="000D47A0" w:rsidRPr="000D47A0">
        <w:rPr>
          <w:rFonts w:ascii="Arial" w:eastAsia="Times New Roman" w:hAnsi="Arial" w:cs="Arial"/>
          <w:spacing w:val="-2"/>
          <w:lang w:eastAsia="ar-SA"/>
        </w:rPr>
        <w:t xml:space="preserve"> </w:t>
      </w:r>
      <w:r>
        <w:rPr>
          <w:rFonts w:ascii="Arial" w:eastAsia="Times New Roman" w:hAnsi="Arial" w:cs="Arial"/>
          <w:spacing w:val="-2"/>
          <w:lang w:eastAsia="ar-SA"/>
        </w:rPr>
        <w:t>refiere, también,</w:t>
      </w:r>
      <w:r w:rsidR="000D47A0" w:rsidRPr="000D47A0">
        <w:rPr>
          <w:rFonts w:ascii="Arial" w:eastAsia="Times New Roman" w:hAnsi="Arial" w:cs="Arial"/>
          <w:spacing w:val="-2"/>
          <w:lang w:eastAsia="ar-SA"/>
        </w:rPr>
        <w:t xml:space="preserve"> que la implementación de la R</w:t>
      </w:r>
      <w:r>
        <w:rPr>
          <w:rFonts w:ascii="Arial" w:eastAsia="Times New Roman" w:hAnsi="Arial" w:cs="Arial"/>
          <w:spacing w:val="-2"/>
          <w:lang w:eastAsia="ar-SA"/>
        </w:rPr>
        <w:t xml:space="preserve">uta de </w:t>
      </w:r>
      <w:r w:rsidR="000D47A0" w:rsidRPr="000D47A0">
        <w:rPr>
          <w:rFonts w:ascii="Arial" w:eastAsia="Times New Roman" w:hAnsi="Arial" w:cs="Arial"/>
          <w:spacing w:val="-2"/>
          <w:lang w:eastAsia="ar-SA"/>
        </w:rPr>
        <w:t>P</w:t>
      </w:r>
      <w:r>
        <w:rPr>
          <w:rFonts w:ascii="Arial" w:eastAsia="Times New Roman" w:hAnsi="Arial" w:cs="Arial"/>
          <w:spacing w:val="-2"/>
          <w:lang w:eastAsia="ar-SA"/>
        </w:rPr>
        <w:t xml:space="preserve">romoción y </w:t>
      </w:r>
      <w:r w:rsidR="000D47A0" w:rsidRPr="000D47A0">
        <w:rPr>
          <w:rFonts w:ascii="Arial" w:eastAsia="Times New Roman" w:hAnsi="Arial" w:cs="Arial"/>
          <w:spacing w:val="-2"/>
          <w:lang w:eastAsia="ar-SA"/>
        </w:rPr>
        <w:t>M</w:t>
      </w:r>
      <w:r>
        <w:rPr>
          <w:rFonts w:ascii="Arial" w:eastAsia="Times New Roman" w:hAnsi="Arial" w:cs="Arial"/>
          <w:spacing w:val="-2"/>
          <w:lang w:eastAsia="ar-SA"/>
        </w:rPr>
        <w:t xml:space="preserve">antenimiento de la </w:t>
      </w:r>
      <w:r w:rsidR="000D47A0" w:rsidRPr="000D47A0">
        <w:rPr>
          <w:rFonts w:ascii="Arial" w:eastAsia="Times New Roman" w:hAnsi="Arial" w:cs="Arial"/>
          <w:spacing w:val="-2"/>
          <w:lang w:eastAsia="ar-SA"/>
        </w:rPr>
        <w:t>S</w:t>
      </w:r>
      <w:r>
        <w:rPr>
          <w:rFonts w:ascii="Arial" w:eastAsia="Times New Roman" w:hAnsi="Arial" w:cs="Arial"/>
          <w:spacing w:val="-2"/>
          <w:lang w:eastAsia="ar-SA"/>
        </w:rPr>
        <w:t>alud</w:t>
      </w:r>
      <w:r w:rsidR="000D47A0" w:rsidRPr="000D47A0">
        <w:rPr>
          <w:rFonts w:ascii="Arial" w:eastAsia="Times New Roman" w:hAnsi="Arial" w:cs="Arial"/>
          <w:spacing w:val="-2"/>
          <w:lang w:eastAsia="ar-SA"/>
        </w:rPr>
        <w:t xml:space="preserve"> implica modificaciones en la forma en que tradicionalmente se ha hecho tanto la gestión, como la atención de la salud, considerando</w:t>
      </w:r>
      <w:r>
        <w:rPr>
          <w:rFonts w:ascii="Arial" w:eastAsia="Times New Roman" w:hAnsi="Arial" w:cs="Arial"/>
          <w:spacing w:val="-2"/>
          <w:lang w:eastAsia="ar-SA"/>
        </w:rPr>
        <w:t>:</w:t>
      </w:r>
    </w:p>
    <w:p w14:paraId="7A7AD345" w14:textId="2229FA56" w:rsidR="000D47A0" w:rsidRPr="000D47A0" w:rsidRDefault="000D47A0" w:rsidP="000D47A0">
      <w:pPr>
        <w:pStyle w:val="Prrafodelista"/>
        <w:numPr>
          <w:ilvl w:val="0"/>
          <w:numId w:val="2"/>
        </w:numPr>
        <w:spacing w:before="100" w:beforeAutospacing="1" w:after="100" w:afterAutospacing="1" w:line="240" w:lineRule="auto"/>
        <w:jc w:val="both"/>
        <w:rPr>
          <w:rFonts w:ascii="Arial" w:eastAsia="Times New Roman" w:hAnsi="Arial" w:cs="Arial"/>
          <w:spacing w:val="-2"/>
          <w:lang w:eastAsia="ar-SA"/>
        </w:rPr>
      </w:pPr>
      <w:r w:rsidRPr="000D47A0">
        <w:rPr>
          <w:rFonts w:ascii="Arial" w:eastAsia="Times New Roman" w:hAnsi="Arial" w:cs="Arial"/>
          <w:spacing w:val="-2"/>
          <w:lang w:eastAsia="ar-SA"/>
        </w:rPr>
        <w:t>Reconocer como sujetos de la atención en salud a las personas, familias y comunidades que viven y se desarrollan en un ámbito territorial (urbano, rural y</w:t>
      </w:r>
      <w:r w:rsidRPr="000D47A0">
        <w:rPr>
          <w:rFonts w:ascii="Arial" w:eastAsia="Times New Roman" w:hAnsi="Arial" w:cs="Arial"/>
          <w:spacing w:val="-2"/>
          <w:lang w:eastAsia="ar-SA"/>
        </w:rPr>
        <w:br/>
        <w:t>rural disperso) con particularidades, condiciones y situaciones que deben</w:t>
      </w:r>
      <w:r w:rsidRPr="000D47A0">
        <w:rPr>
          <w:rFonts w:ascii="Arial" w:eastAsia="Times New Roman" w:hAnsi="Arial" w:cs="Arial"/>
          <w:spacing w:val="-2"/>
          <w:lang w:eastAsia="ar-SA"/>
        </w:rPr>
        <w:br/>
        <w:t>considerarse como ejes contextuales del proceso de atención en salud</w:t>
      </w:r>
      <w:r w:rsidR="00AF652F">
        <w:rPr>
          <w:rFonts w:ascii="Arial" w:eastAsia="Times New Roman" w:hAnsi="Arial" w:cs="Arial"/>
          <w:spacing w:val="-2"/>
          <w:lang w:eastAsia="ar-SA"/>
        </w:rPr>
        <w:t>, entre otros.</w:t>
      </w:r>
    </w:p>
    <w:p w14:paraId="00C38B43" w14:textId="43A97671" w:rsidR="000D47A0" w:rsidRPr="000D47A0" w:rsidRDefault="00AF652F" w:rsidP="000D47A0">
      <w:pPr>
        <w:jc w:val="both"/>
        <w:rPr>
          <w:rFonts w:ascii="Arial" w:hAnsi="Arial" w:cs="Arial"/>
          <w:lang w:val="es-ES"/>
        </w:rPr>
      </w:pPr>
      <w:r>
        <w:rPr>
          <w:rFonts w:ascii="Arial" w:hAnsi="Arial" w:cs="Arial"/>
          <w:lang w:val="es-ES"/>
        </w:rPr>
        <w:t xml:space="preserve">Desde la </w:t>
      </w:r>
      <w:r w:rsidR="000D47A0" w:rsidRPr="000D47A0">
        <w:rPr>
          <w:rFonts w:ascii="Arial" w:hAnsi="Arial" w:cs="Arial"/>
          <w:lang w:val="es-ES"/>
        </w:rPr>
        <w:t xml:space="preserve">Dirección de Provisión de Servicios de </w:t>
      </w:r>
      <w:r>
        <w:rPr>
          <w:rFonts w:ascii="Arial" w:hAnsi="Arial" w:cs="Arial"/>
          <w:lang w:val="es-ES"/>
        </w:rPr>
        <w:t>S</w:t>
      </w:r>
      <w:r w:rsidR="000D47A0" w:rsidRPr="000D47A0">
        <w:rPr>
          <w:rFonts w:ascii="Arial" w:hAnsi="Arial" w:cs="Arial"/>
          <w:lang w:val="es-ES"/>
        </w:rPr>
        <w:t>alud</w:t>
      </w:r>
      <w:r>
        <w:rPr>
          <w:rFonts w:ascii="Arial" w:hAnsi="Arial" w:cs="Arial"/>
          <w:lang w:val="es-ES"/>
        </w:rPr>
        <w:t xml:space="preserve"> de la Secretaría Distrital de Salud</w:t>
      </w:r>
      <w:r w:rsidR="000D47A0" w:rsidRPr="000D47A0">
        <w:rPr>
          <w:rFonts w:ascii="Arial" w:hAnsi="Arial" w:cs="Arial"/>
          <w:lang w:val="es-ES"/>
        </w:rPr>
        <w:t xml:space="preserve">, </w:t>
      </w:r>
      <w:r>
        <w:rPr>
          <w:rFonts w:ascii="Arial" w:hAnsi="Arial" w:cs="Arial"/>
          <w:lang w:val="es-ES"/>
        </w:rPr>
        <w:t xml:space="preserve">se </w:t>
      </w:r>
      <w:r w:rsidR="000D47A0" w:rsidRPr="000D47A0">
        <w:rPr>
          <w:rFonts w:ascii="Arial" w:hAnsi="Arial" w:cs="Arial"/>
          <w:lang w:val="es-ES"/>
        </w:rPr>
        <w:t>realiza</w:t>
      </w:r>
      <w:r>
        <w:rPr>
          <w:rFonts w:ascii="Arial" w:hAnsi="Arial" w:cs="Arial"/>
          <w:lang w:val="es-ES"/>
        </w:rPr>
        <w:t>n</w:t>
      </w:r>
      <w:r w:rsidR="000D47A0" w:rsidRPr="000D47A0">
        <w:rPr>
          <w:rFonts w:ascii="Arial" w:hAnsi="Arial" w:cs="Arial"/>
          <w:lang w:val="es-ES"/>
        </w:rPr>
        <w:t xml:space="preserve"> acciones de asistencia técnica a las Empresas Administradoras de Planes de Beneficios-EAPB e Instituciones prestadoras de servicios de salud -IPS con el fin de fortalecer el acceso efectivo a la atención en salud para toda la población, de acuerdo al momento del curso de vida </w:t>
      </w:r>
      <w:r>
        <w:rPr>
          <w:rFonts w:ascii="Arial" w:hAnsi="Arial" w:cs="Arial"/>
          <w:lang w:val="es-ES"/>
        </w:rPr>
        <w:t>que esté viviendo</w:t>
      </w:r>
      <w:r w:rsidR="000D47A0" w:rsidRPr="000D47A0">
        <w:rPr>
          <w:rFonts w:ascii="Arial" w:hAnsi="Arial" w:cs="Arial"/>
          <w:lang w:val="es-ES"/>
        </w:rPr>
        <w:t>, a través de la Ruta de Promoción y Mantenimiento de la Salud.</w:t>
      </w:r>
    </w:p>
    <w:p w14:paraId="68C24C19" w14:textId="1C79A69E" w:rsidR="000D47A0" w:rsidRPr="000D47A0" w:rsidRDefault="000D47A0" w:rsidP="000D47A0">
      <w:pPr>
        <w:jc w:val="both"/>
        <w:rPr>
          <w:rFonts w:ascii="Arial" w:hAnsi="Arial" w:cs="Arial"/>
          <w:lang w:val="es-ES"/>
        </w:rPr>
      </w:pPr>
      <w:r w:rsidRPr="000D47A0">
        <w:rPr>
          <w:rFonts w:ascii="Arial" w:hAnsi="Arial" w:cs="Arial"/>
          <w:lang w:val="es-ES"/>
        </w:rPr>
        <w:t xml:space="preserve">En este contexto, a todas las personas que estén afiliadas al </w:t>
      </w:r>
      <w:r w:rsidR="00AF652F">
        <w:rPr>
          <w:rFonts w:ascii="Arial" w:hAnsi="Arial" w:cs="Arial"/>
          <w:lang w:val="es-ES"/>
        </w:rPr>
        <w:t>S</w:t>
      </w:r>
      <w:r w:rsidRPr="000D47A0">
        <w:rPr>
          <w:rFonts w:ascii="Arial" w:hAnsi="Arial" w:cs="Arial"/>
          <w:lang w:val="es-ES"/>
        </w:rPr>
        <w:t xml:space="preserve">istema </w:t>
      </w:r>
      <w:r w:rsidR="00AF652F">
        <w:rPr>
          <w:rFonts w:ascii="Arial" w:hAnsi="Arial" w:cs="Arial"/>
          <w:lang w:val="es-ES"/>
        </w:rPr>
        <w:t xml:space="preserve">General </w:t>
      </w:r>
      <w:r w:rsidRPr="000D47A0">
        <w:rPr>
          <w:rFonts w:ascii="Arial" w:hAnsi="Arial" w:cs="Arial"/>
          <w:lang w:val="es-ES"/>
        </w:rPr>
        <w:t xml:space="preserve">de </w:t>
      </w:r>
      <w:r w:rsidR="00AF652F">
        <w:rPr>
          <w:rFonts w:ascii="Arial" w:hAnsi="Arial" w:cs="Arial"/>
          <w:lang w:val="es-ES"/>
        </w:rPr>
        <w:t>S</w:t>
      </w:r>
      <w:r w:rsidRPr="000D47A0">
        <w:rPr>
          <w:rFonts w:ascii="Arial" w:hAnsi="Arial" w:cs="Arial"/>
          <w:lang w:val="es-ES"/>
        </w:rPr>
        <w:t xml:space="preserve">eguridad </w:t>
      </w:r>
      <w:r w:rsidR="00AF652F">
        <w:rPr>
          <w:rFonts w:ascii="Arial" w:hAnsi="Arial" w:cs="Arial"/>
          <w:lang w:val="es-ES"/>
        </w:rPr>
        <w:t>S</w:t>
      </w:r>
      <w:r w:rsidRPr="000D47A0">
        <w:rPr>
          <w:rFonts w:ascii="Arial" w:hAnsi="Arial" w:cs="Arial"/>
          <w:lang w:val="es-ES"/>
        </w:rPr>
        <w:t xml:space="preserve">ocial en </w:t>
      </w:r>
      <w:r w:rsidR="00AF652F">
        <w:rPr>
          <w:rFonts w:ascii="Arial" w:hAnsi="Arial" w:cs="Arial"/>
          <w:lang w:val="es-ES"/>
        </w:rPr>
        <w:t>S</w:t>
      </w:r>
      <w:r w:rsidRPr="000D47A0">
        <w:rPr>
          <w:rFonts w:ascii="Arial" w:hAnsi="Arial" w:cs="Arial"/>
          <w:lang w:val="es-ES"/>
        </w:rPr>
        <w:t>alud</w:t>
      </w:r>
      <w:r w:rsidR="000D78D9">
        <w:rPr>
          <w:rFonts w:ascii="Arial" w:hAnsi="Arial" w:cs="Arial"/>
          <w:lang w:val="es-ES"/>
        </w:rPr>
        <w:t xml:space="preserve"> - SGSSS</w:t>
      </w:r>
      <w:r w:rsidRPr="000D47A0">
        <w:rPr>
          <w:rFonts w:ascii="Arial" w:hAnsi="Arial" w:cs="Arial"/>
          <w:lang w:val="es-ES"/>
        </w:rPr>
        <w:t>, debe garantizárseles, por medio de las EAPB, la prestación de servicios de salud a través de su red de prestadores de servicios; una de las actividades a las cuales tienen derecho todos los afiliados es la consulta de valoración integral, donde se evalúan aspectos como:</w:t>
      </w:r>
    </w:p>
    <w:p w14:paraId="30466943" w14:textId="0CB681BB" w:rsidR="000D47A0" w:rsidRDefault="000D47A0" w:rsidP="000D47A0">
      <w:pPr>
        <w:pStyle w:val="Prrafodelista"/>
        <w:numPr>
          <w:ilvl w:val="0"/>
          <w:numId w:val="2"/>
        </w:numPr>
        <w:jc w:val="both"/>
        <w:rPr>
          <w:rFonts w:ascii="Arial" w:hAnsi="Arial" w:cs="Arial"/>
          <w:lang w:val="es-ES"/>
        </w:rPr>
      </w:pPr>
      <w:r w:rsidRPr="000D47A0">
        <w:rPr>
          <w:rFonts w:ascii="Arial" w:hAnsi="Arial" w:cs="Arial"/>
          <w:b/>
          <w:bCs/>
          <w:lang w:val="es-ES"/>
        </w:rPr>
        <w:t>Adolescencia</w:t>
      </w:r>
      <w:r w:rsidRPr="000D47A0">
        <w:rPr>
          <w:rFonts w:ascii="Arial" w:hAnsi="Arial" w:cs="Arial"/>
          <w:lang w:val="es-ES"/>
        </w:rPr>
        <w:t xml:space="preserve">: </w:t>
      </w:r>
      <w:r w:rsidR="004F6165">
        <w:rPr>
          <w:rFonts w:ascii="Arial" w:hAnsi="Arial" w:cs="Arial"/>
          <w:lang w:val="es-ES"/>
        </w:rPr>
        <w:t>A</w:t>
      </w:r>
      <w:r w:rsidRPr="000D47A0">
        <w:rPr>
          <w:rFonts w:ascii="Arial" w:hAnsi="Arial" w:cs="Arial"/>
          <w:lang w:val="es-ES"/>
        </w:rPr>
        <w:t>sistencia escolar y desempeño académico, preocupaciones de salud y por el cuidado extra-escolar, indagación sobre el ejercicio de los derechos sexuales y reproductivos y la vivencia de la sexualidad en sus diferentes componentes</w:t>
      </w:r>
      <w:r w:rsidR="004F6165">
        <w:rPr>
          <w:rFonts w:ascii="Arial" w:hAnsi="Arial" w:cs="Arial"/>
          <w:lang w:val="es-ES"/>
        </w:rPr>
        <w:t xml:space="preserve"> </w:t>
      </w:r>
      <w:r w:rsidR="004F6165" w:rsidRPr="004F6165">
        <w:rPr>
          <w:rFonts w:ascii="Arial" w:hAnsi="Arial" w:cs="Arial"/>
          <w:lang w:val="es-ES"/>
        </w:rPr>
        <w:t>(reproductivo, afectivo, erótico y comunicativo- relacional) en condiciones de libertad, equidad y dignidad</w:t>
      </w:r>
      <w:r w:rsidRPr="000D47A0">
        <w:rPr>
          <w:rFonts w:ascii="Arial" w:hAnsi="Arial" w:cs="Arial"/>
          <w:lang w:val="es-ES"/>
        </w:rPr>
        <w:t>, indagación por prácticas y hábitos saludables, prácticas de crianza de los cuidadores, valoración clínica de la maduración sexual a través de los estadios de Tanner; se valora la presencia de riesgos psicosociales.</w:t>
      </w:r>
      <w:r w:rsidR="004F6165">
        <w:rPr>
          <w:rFonts w:ascii="Arial" w:hAnsi="Arial" w:cs="Arial"/>
          <w:lang w:val="es-ES"/>
        </w:rPr>
        <w:t xml:space="preserve"> También se debe indagar por </w:t>
      </w:r>
      <w:r w:rsidR="004F6165" w:rsidRPr="004F6165">
        <w:rPr>
          <w:rFonts w:ascii="Arial" w:hAnsi="Arial" w:cs="Arial"/>
          <w:lang w:val="es-ES"/>
        </w:rPr>
        <w:t xml:space="preserve">orientación sexual, identidad de </w:t>
      </w:r>
      <w:r w:rsidR="004F6165" w:rsidRPr="004F6165">
        <w:rPr>
          <w:rFonts w:ascii="Arial" w:hAnsi="Arial" w:cs="Arial"/>
          <w:lang w:val="es-ES"/>
        </w:rPr>
        <w:lastRenderedPageBreak/>
        <w:t xml:space="preserve">género, inicio de relaciones sexuales, número de compañeros sexuales, uso de métodos de anticoncepción y protección usados contra ITS/VIH; dificultades durante las relaciones sexuales (excitación, lubricación, orgasmo, erección, eyaculación, dolor); toma de decisiones alrededor de la sexualidad y la reproducción (autonomía, maternidad o paternidad planeada, interrupción voluntaria del embarazo), vivencia sobre la identidad de género (sexismo, homofobia y </w:t>
      </w:r>
      <w:r w:rsidR="004F6165" w:rsidRPr="004F6165">
        <w:rPr>
          <w:rFonts w:ascii="Arial" w:hAnsi="Arial" w:cs="Arial"/>
        </w:rPr>
        <w:t>transfobia), violencia contra la mujer y/o violencia de género (incluye explotación sexual y comercial (ESCI) y violencia sexual); conocimiento de fisiología y anatomía de la sexualidad y la reproducción, conocimientos, creencias y actitudes sobre las relaciones sexuales, anticoncepción, ITS.</w:t>
      </w:r>
    </w:p>
    <w:p w14:paraId="081A8AF3" w14:textId="77777777" w:rsidR="004F6165" w:rsidRPr="004F6165" w:rsidRDefault="004F6165" w:rsidP="004F6165">
      <w:pPr>
        <w:pStyle w:val="Prrafodelista"/>
        <w:rPr>
          <w:rFonts w:ascii="Arial" w:hAnsi="Arial" w:cs="Arial"/>
          <w:lang w:val="es-ES"/>
        </w:rPr>
      </w:pPr>
    </w:p>
    <w:p w14:paraId="36F628F5" w14:textId="2EE7FD9B" w:rsidR="004F6165" w:rsidRPr="004F6165" w:rsidRDefault="004F6165" w:rsidP="00735DEB">
      <w:pPr>
        <w:pStyle w:val="Prrafodelista"/>
        <w:numPr>
          <w:ilvl w:val="0"/>
          <w:numId w:val="2"/>
        </w:numPr>
        <w:jc w:val="both"/>
        <w:rPr>
          <w:rFonts w:ascii="Arial" w:hAnsi="Arial" w:cs="Arial"/>
        </w:rPr>
      </w:pPr>
      <w:r w:rsidRPr="004F6165">
        <w:rPr>
          <w:rFonts w:ascii="Arial" w:hAnsi="Arial" w:cs="Arial"/>
          <w:b/>
          <w:bCs/>
          <w:lang w:val="es-ES"/>
        </w:rPr>
        <w:t>Juventud:</w:t>
      </w:r>
      <w:r w:rsidRPr="004F6165">
        <w:rPr>
          <w:rFonts w:ascii="Arial" w:hAnsi="Arial" w:cs="Arial"/>
          <w:lang w:val="es-ES"/>
        </w:rPr>
        <w:t xml:space="preserve"> </w:t>
      </w:r>
      <w:r>
        <w:rPr>
          <w:rFonts w:ascii="Arial" w:hAnsi="Arial" w:cs="Arial"/>
        </w:rPr>
        <w:t>E</w:t>
      </w:r>
      <w:r w:rsidRPr="004F6165">
        <w:rPr>
          <w:rFonts w:ascii="Arial" w:hAnsi="Arial" w:cs="Arial"/>
        </w:rPr>
        <w:t xml:space="preserve">jercicio de los derechos sexuales y reproductivos y la vivencia de la sexualidad en sus diferentes componentes (reproductivo, afectivo, erótico y comunicativo- relacional) en condiciones de libertad, equidad y dignidad. </w:t>
      </w:r>
      <w:r>
        <w:rPr>
          <w:rFonts w:ascii="Arial" w:hAnsi="Arial" w:cs="Arial"/>
        </w:rPr>
        <w:t xml:space="preserve">Se debe </w:t>
      </w:r>
      <w:r w:rsidRPr="004F6165">
        <w:rPr>
          <w:rFonts w:ascii="Arial" w:hAnsi="Arial" w:cs="Arial"/>
        </w:rPr>
        <w:t xml:space="preserve">indagar por: orientación sexual, identidad de género, inicio de relaciones sexuales, número de compañeros sexuales, uso de métodos de anticoncepción y protección usados contra ITS/VIH; dificultades durante las relaciones sexuales (excitación, lubricación, orgasmo, erección, eyaculación, dolor); toma de decisiones alrededor de la sexualidad y la reproducción (autonomía, maternidad o paternidad planeada, interrupción voluntaria del embarazo), vivencia de la identidad de género (sexismo, homofobia y transfobia), violencia sexual, violencia contra la mujer y/o violencia de género; conocimiento de fisiología y anatomía de la sexualidad y la reproducción, conocimientos, creencias y actitudes sobre las relaciones sexuales. </w:t>
      </w:r>
    </w:p>
    <w:p w14:paraId="4A6AB796" w14:textId="77777777" w:rsidR="004F6165" w:rsidRDefault="004F6165" w:rsidP="000D47A0">
      <w:pPr>
        <w:jc w:val="both"/>
        <w:rPr>
          <w:rFonts w:ascii="Arial" w:hAnsi="Arial" w:cs="Arial"/>
        </w:rPr>
      </w:pPr>
    </w:p>
    <w:p w14:paraId="525B6192" w14:textId="0EDCDF2F" w:rsidR="000D47A0" w:rsidRPr="000D47A0" w:rsidRDefault="000D47A0" w:rsidP="000D47A0">
      <w:pPr>
        <w:jc w:val="both"/>
        <w:rPr>
          <w:rFonts w:ascii="Arial" w:hAnsi="Arial" w:cs="Arial"/>
        </w:rPr>
      </w:pPr>
      <w:r w:rsidRPr="000D47A0">
        <w:rPr>
          <w:rFonts w:ascii="Arial" w:hAnsi="Arial" w:cs="Arial"/>
        </w:rPr>
        <w:t>La ruta</w:t>
      </w:r>
      <w:r w:rsidR="004F6165">
        <w:rPr>
          <w:rFonts w:ascii="Arial" w:hAnsi="Arial" w:cs="Arial"/>
        </w:rPr>
        <w:t xml:space="preserve"> </w:t>
      </w:r>
      <w:r w:rsidR="004F6165">
        <w:rPr>
          <w:rFonts w:ascii="Arial" w:hAnsi="Arial" w:cs="Arial"/>
        </w:rPr>
        <w:t>de promoción y mantenimiento de la salud</w:t>
      </w:r>
      <w:r w:rsidRPr="000D47A0">
        <w:rPr>
          <w:rFonts w:ascii="Arial" w:hAnsi="Arial" w:cs="Arial"/>
        </w:rPr>
        <w:t xml:space="preserve"> prioriza</w:t>
      </w:r>
      <w:r w:rsidR="004F6165">
        <w:rPr>
          <w:rFonts w:ascii="Arial" w:hAnsi="Arial" w:cs="Arial"/>
        </w:rPr>
        <w:t xml:space="preserve"> </w:t>
      </w:r>
      <w:r w:rsidRPr="000D47A0">
        <w:rPr>
          <w:rFonts w:ascii="Arial" w:hAnsi="Arial" w:cs="Arial"/>
        </w:rPr>
        <w:t xml:space="preserve">la identificación temprana y la gestión de los riesgos en salud, con el fin de evitar o reducir el impacto en salud de las posibles complicaciones que se puedan derivar de éstos. </w:t>
      </w:r>
    </w:p>
    <w:p w14:paraId="16BB09B7" w14:textId="77777777" w:rsidR="000D47A0" w:rsidRDefault="000D47A0" w:rsidP="000D47A0">
      <w:pPr>
        <w:jc w:val="both"/>
        <w:rPr>
          <w:rFonts w:ascii="Arial" w:hAnsi="Arial" w:cs="Arial"/>
        </w:rPr>
      </w:pPr>
      <w:r w:rsidRPr="000D47A0">
        <w:rPr>
          <w:rFonts w:ascii="Arial" w:hAnsi="Arial" w:cs="Arial"/>
        </w:rPr>
        <w:t xml:space="preserve">Igualmente, las intervenciones incluyen acciones educativas que están dirigidas al fortalecimiento de factores protectores, pautas de crianza, habilidades sociales, toma de decisiones, fortalecimiento del involucramiento familiar entre otras, las cuales pueden minimizar el riesgo. </w:t>
      </w:r>
    </w:p>
    <w:p w14:paraId="24C4801F" w14:textId="0CF2A4F7" w:rsidR="00DF6E2D" w:rsidRDefault="00DF6E2D" w:rsidP="00DF6E2D">
      <w:pPr>
        <w:jc w:val="both"/>
        <w:rPr>
          <w:rFonts w:ascii="Arial" w:hAnsi="Arial" w:cs="Arial"/>
        </w:rPr>
      </w:pPr>
      <w:r>
        <w:rPr>
          <w:rFonts w:ascii="Arial" w:hAnsi="Arial" w:cs="Arial"/>
        </w:rPr>
        <w:t>Para lograr los propósitos de la ruta de promoción y mantenimiento de salud,</w:t>
      </w:r>
      <w:r w:rsidRPr="00DF6E2D">
        <w:rPr>
          <w:rFonts w:ascii="Arial" w:hAnsi="Arial" w:cs="Arial"/>
        </w:rPr>
        <w:t xml:space="preserve"> se realizan orientaciones técnicas, relacionadas con las atenciones</w:t>
      </w:r>
      <w:r>
        <w:rPr>
          <w:rFonts w:ascii="Arial" w:hAnsi="Arial" w:cs="Arial"/>
        </w:rPr>
        <w:t xml:space="preserve"> </w:t>
      </w:r>
      <w:r w:rsidRPr="00DF6E2D">
        <w:rPr>
          <w:rFonts w:ascii="Arial" w:hAnsi="Arial" w:cs="Arial"/>
        </w:rPr>
        <w:t>individuales de la ruta, las cuales están dirigidas a las 17 Entidades Administradoras de Plan de</w:t>
      </w:r>
      <w:r>
        <w:rPr>
          <w:rFonts w:ascii="Arial" w:hAnsi="Arial" w:cs="Arial"/>
        </w:rPr>
        <w:t xml:space="preserve"> </w:t>
      </w:r>
      <w:r w:rsidRPr="00DF6E2D">
        <w:rPr>
          <w:rFonts w:ascii="Arial" w:hAnsi="Arial" w:cs="Arial"/>
        </w:rPr>
        <w:t>Beneficios en Salud - EAPB y su red de Instituciones Prestadoras de Servicios de salud – IPS. Uno de los</w:t>
      </w:r>
      <w:r>
        <w:rPr>
          <w:rFonts w:ascii="Arial" w:hAnsi="Arial" w:cs="Arial"/>
        </w:rPr>
        <w:t xml:space="preserve"> </w:t>
      </w:r>
      <w:r w:rsidRPr="00DF6E2D">
        <w:rPr>
          <w:rFonts w:ascii="Arial" w:hAnsi="Arial" w:cs="Arial"/>
        </w:rPr>
        <w:t>componentes desarrollados durante estas asistencias técnicas es la valoración de la salud sexual, salud</w:t>
      </w:r>
      <w:r>
        <w:rPr>
          <w:rFonts w:ascii="Arial" w:hAnsi="Arial" w:cs="Arial"/>
        </w:rPr>
        <w:t xml:space="preserve"> </w:t>
      </w:r>
      <w:r w:rsidRPr="00DF6E2D">
        <w:rPr>
          <w:rFonts w:ascii="Arial" w:hAnsi="Arial" w:cs="Arial"/>
        </w:rPr>
        <w:t>reproductiva y la anticoncepción. Se orienta a los y las profesionales en salud sobre cómo realizar estas</w:t>
      </w:r>
      <w:r>
        <w:rPr>
          <w:rFonts w:ascii="Arial" w:hAnsi="Arial" w:cs="Arial"/>
        </w:rPr>
        <w:t xml:space="preserve"> </w:t>
      </w:r>
      <w:r w:rsidRPr="00DF6E2D">
        <w:rPr>
          <w:rFonts w:ascii="Arial" w:hAnsi="Arial" w:cs="Arial"/>
        </w:rPr>
        <w:t>atenciones, de acuerdo a lo establecido en la Resolución 3280 de 2018, con el fin de contribuir al</w:t>
      </w:r>
      <w:r>
        <w:rPr>
          <w:rFonts w:ascii="Arial" w:hAnsi="Arial" w:cs="Arial"/>
        </w:rPr>
        <w:t xml:space="preserve"> </w:t>
      </w:r>
      <w:r w:rsidRPr="00DF6E2D">
        <w:rPr>
          <w:rFonts w:ascii="Arial" w:hAnsi="Arial" w:cs="Arial"/>
        </w:rPr>
        <w:t>ejercicio de los derechos sexuales y derechos reproductivos de la población. De igual manera, dentro de</w:t>
      </w:r>
      <w:r>
        <w:rPr>
          <w:rFonts w:ascii="Arial" w:hAnsi="Arial" w:cs="Arial"/>
        </w:rPr>
        <w:t xml:space="preserve"> </w:t>
      </w:r>
      <w:r w:rsidRPr="00DF6E2D">
        <w:rPr>
          <w:rFonts w:ascii="Arial" w:hAnsi="Arial" w:cs="Arial"/>
        </w:rPr>
        <w:t>las orientaciones técnicas, se aborda la atención con enfoque diferencial (curso de vida, género,</w:t>
      </w:r>
      <w:r>
        <w:rPr>
          <w:rFonts w:ascii="Arial" w:hAnsi="Arial" w:cs="Arial"/>
        </w:rPr>
        <w:t xml:space="preserve"> </w:t>
      </w:r>
      <w:r w:rsidRPr="00DF6E2D">
        <w:rPr>
          <w:rFonts w:ascii="Arial" w:hAnsi="Arial" w:cs="Arial"/>
        </w:rPr>
        <w:t xml:space="preserve">territorialidad) con el ánimo de lograr una atención que dé respuesta a </w:t>
      </w:r>
      <w:r>
        <w:rPr>
          <w:rFonts w:ascii="Arial" w:hAnsi="Arial" w:cs="Arial"/>
        </w:rPr>
        <w:t>las</w:t>
      </w:r>
      <w:r w:rsidRPr="00DF6E2D">
        <w:rPr>
          <w:rFonts w:ascii="Arial" w:hAnsi="Arial" w:cs="Arial"/>
        </w:rPr>
        <w:t xml:space="preserve"> necesidades</w:t>
      </w:r>
      <w:r>
        <w:rPr>
          <w:rFonts w:ascii="Arial" w:hAnsi="Arial" w:cs="Arial"/>
        </w:rPr>
        <w:t xml:space="preserve"> </w:t>
      </w:r>
      <w:r w:rsidRPr="00DF6E2D">
        <w:rPr>
          <w:rFonts w:ascii="Arial" w:hAnsi="Arial" w:cs="Arial"/>
        </w:rPr>
        <w:t>particulares</w:t>
      </w:r>
      <w:r>
        <w:rPr>
          <w:rFonts w:ascii="Arial" w:hAnsi="Arial" w:cs="Arial"/>
        </w:rPr>
        <w:t xml:space="preserve"> </w:t>
      </w:r>
      <w:r w:rsidRPr="00DF6E2D">
        <w:rPr>
          <w:rFonts w:ascii="Arial" w:hAnsi="Arial" w:cs="Arial"/>
        </w:rPr>
        <w:t>de las personas. Así mismo, se continúa trabajando con las EAPB y su red de IPS para la implementación de</w:t>
      </w:r>
      <w:r>
        <w:rPr>
          <w:rFonts w:ascii="Arial" w:hAnsi="Arial" w:cs="Arial"/>
        </w:rPr>
        <w:t xml:space="preserve"> </w:t>
      </w:r>
      <w:r w:rsidRPr="00DF6E2D">
        <w:rPr>
          <w:rFonts w:ascii="Arial" w:hAnsi="Arial" w:cs="Arial"/>
        </w:rPr>
        <w:t>las consultas de educación en salud, tanto individual como grupal, buscando poder brindar herramientas</w:t>
      </w:r>
      <w:r>
        <w:rPr>
          <w:rFonts w:ascii="Arial" w:hAnsi="Arial" w:cs="Arial"/>
        </w:rPr>
        <w:t xml:space="preserve"> </w:t>
      </w:r>
      <w:r w:rsidRPr="00DF6E2D">
        <w:rPr>
          <w:rFonts w:ascii="Arial" w:hAnsi="Arial" w:cs="Arial"/>
        </w:rPr>
        <w:t xml:space="preserve">para el fortalecimiento del cuidado y autocuidado. Adicionalmente, se hace hincapié en las </w:t>
      </w:r>
      <w:r w:rsidRPr="00DF6E2D">
        <w:rPr>
          <w:rFonts w:ascii="Arial" w:hAnsi="Arial" w:cs="Arial"/>
        </w:rPr>
        <w:lastRenderedPageBreak/>
        <w:t>estrategias</w:t>
      </w:r>
      <w:r>
        <w:rPr>
          <w:rFonts w:ascii="Arial" w:hAnsi="Arial" w:cs="Arial"/>
        </w:rPr>
        <w:t xml:space="preserve"> </w:t>
      </w:r>
      <w:r w:rsidRPr="00DF6E2D">
        <w:rPr>
          <w:rFonts w:ascii="Arial" w:hAnsi="Arial" w:cs="Arial"/>
        </w:rPr>
        <w:t>de información, educación y comunicación que deben desarrollar las EAPB e IPS para contribuir a</w:t>
      </w:r>
      <w:r>
        <w:rPr>
          <w:rFonts w:ascii="Arial" w:hAnsi="Arial" w:cs="Arial"/>
        </w:rPr>
        <w:t xml:space="preserve"> </w:t>
      </w:r>
      <w:r w:rsidRPr="00DF6E2D">
        <w:rPr>
          <w:rFonts w:ascii="Arial" w:hAnsi="Arial" w:cs="Arial"/>
        </w:rPr>
        <w:t>fortalecer el acceso efectivo a los servicios de salud sexual</w:t>
      </w:r>
      <w:r w:rsidR="001656BD">
        <w:rPr>
          <w:rFonts w:ascii="Arial" w:hAnsi="Arial" w:cs="Arial"/>
        </w:rPr>
        <w:t xml:space="preserve"> (donde se encuentra la tamización para infecciones de trasmisión sexual, incluido el VIH)</w:t>
      </w:r>
      <w:r w:rsidRPr="00DF6E2D">
        <w:rPr>
          <w:rFonts w:ascii="Arial" w:hAnsi="Arial" w:cs="Arial"/>
        </w:rPr>
        <w:t>, salud reproductiva y anticoncepción por</w:t>
      </w:r>
      <w:r w:rsidR="001656BD">
        <w:rPr>
          <w:rFonts w:ascii="Arial" w:hAnsi="Arial" w:cs="Arial"/>
        </w:rPr>
        <w:t xml:space="preserve"> </w:t>
      </w:r>
      <w:r w:rsidRPr="00DF6E2D">
        <w:rPr>
          <w:rFonts w:ascii="Arial" w:hAnsi="Arial" w:cs="Arial"/>
        </w:rPr>
        <w:t>parte de la población, especialmente poblaciones adolescente y joven</w:t>
      </w:r>
      <w:r w:rsidR="001656BD">
        <w:rPr>
          <w:rFonts w:ascii="Arial" w:hAnsi="Arial" w:cs="Arial"/>
        </w:rPr>
        <w:t xml:space="preserve">. </w:t>
      </w:r>
      <w:r>
        <w:rPr>
          <w:rFonts w:ascii="Arial" w:hAnsi="Arial" w:cs="Arial"/>
        </w:rPr>
        <w:t>Para ello, se ha orientado técnicamente al talento humano sobre cómo realizar una adecuada anamnesis y un examen físico detallado que permitan poder identificar riesgos asociados al ejercicio de los derechos sexuales y derechos reproductivos y poder establecer una articulación con diferentes profesionales del sector salud, incluso con actores de otros sectores, que permitan poder intervenir de manera oportuna cuando se identifique la vulneración de alguno de estos derechos. Así mismo, en algunos espacios donde han participado población adolescente y joven, se ha dado a conocer cuáles son sus derechos sexuales y sus derechos reproductivos y cuáles son las herramientas con las que cuenta, desde el sector salud, para poder ejercerlos de una manera tranquila, sin ningún tipo de riesgo.</w:t>
      </w:r>
    </w:p>
    <w:p w14:paraId="72F82489" w14:textId="5A50F29E" w:rsidR="000D78D9" w:rsidRDefault="000D78D9" w:rsidP="000D47A0">
      <w:pPr>
        <w:jc w:val="both"/>
        <w:rPr>
          <w:rFonts w:ascii="Arial" w:hAnsi="Arial" w:cs="Arial"/>
        </w:rPr>
      </w:pPr>
      <w:r>
        <w:rPr>
          <w:rFonts w:ascii="Arial" w:hAnsi="Arial" w:cs="Arial"/>
        </w:rPr>
        <w:t>Para acceder a la consulta de valoración integral</w:t>
      </w:r>
      <w:r w:rsidR="001656BD">
        <w:rPr>
          <w:rFonts w:ascii="Arial" w:hAnsi="Arial" w:cs="Arial"/>
        </w:rPr>
        <w:t xml:space="preserve"> o a las tamizaciones para infecciones de trasmisión sexual</w:t>
      </w:r>
      <w:r>
        <w:rPr>
          <w:rFonts w:ascii="Arial" w:hAnsi="Arial" w:cs="Arial"/>
        </w:rPr>
        <w:t xml:space="preserve">, las personas afiliadas al SGSSS solo necesitan realizar la solicitud de ese servicio y que se les realice el respectivo agendamiento en la unidad de atención que la EAPB tenga destinado para tal fin. Cabe resaltar que todas las atenciones enmarcadas en la ruta de promoción y mantenimiento de la salud son </w:t>
      </w:r>
      <w:r w:rsidR="001656BD">
        <w:rPr>
          <w:rFonts w:ascii="Arial" w:hAnsi="Arial" w:cs="Arial"/>
        </w:rPr>
        <w:t>gratis</w:t>
      </w:r>
      <w:r>
        <w:rPr>
          <w:rFonts w:ascii="Arial" w:hAnsi="Arial" w:cs="Arial"/>
        </w:rPr>
        <w:t xml:space="preserve">, lo cual busca facilitar que adolescentes </w:t>
      </w:r>
      <w:r w:rsidR="001656BD">
        <w:rPr>
          <w:rFonts w:ascii="Arial" w:hAnsi="Arial" w:cs="Arial"/>
        </w:rPr>
        <w:t xml:space="preserve">y jóvenes </w:t>
      </w:r>
      <w:r>
        <w:rPr>
          <w:rFonts w:ascii="Arial" w:hAnsi="Arial" w:cs="Arial"/>
        </w:rPr>
        <w:t>puedan acceder de manera efectiva a ellas.</w:t>
      </w:r>
    </w:p>
    <w:p w14:paraId="0396608D" w14:textId="6A58A10C" w:rsidR="001656BD" w:rsidRPr="000D47A0" w:rsidRDefault="008D3226" w:rsidP="000D47A0">
      <w:pPr>
        <w:jc w:val="both"/>
        <w:rPr>
          <w:rFonts w:ascii="Arial" w:hAnsi="Arial" w:cs="Arial"/>
        </w:rPr>
      </w:pPr>
      <w:r>
        <w:rPr>
          <w:rFonts w:ascii="Arial" w:hAnsi="Arial" w:cs="Arial"/>
        </w:rPr>
        <w:t>Con lo referido anteriormente, se ha buscado fortalecer la prevención de infección por VIH y otras infecciones de trasmisión sexual en población adolescente y joven, desde las atenciones individuales establecidas en la ruta de promoción y mantenimiento de salud, a través del fortalecimiento de los tamizajes para ITS, la educación para la salud sexual y salud reproductiva y el ejercicio de los derechos sexuales y derechos reproductivos.</w:t>
      </w:r>
    </w:p>
    <w:p w14:paraId="340A78ED" w14:textId="6F9C2290" w:rsidR="00D17F35" w:rsidRDefault="00D17F35" w:rsidP="00D17F35">
      <w:pPr>
        <w:jc w:val="both"/>
        <w:rPr>
          <w:rFonts w:ascii="Arial" w:hAnsi="Arial" w:cs="Arial"/>
        </w:rPr>
      </w:pPr>
      <w:r w:rsidRPr="00D17F35">
        <w:rPr>
          <w:rFonts w:ascii="Arial" w:hAnsi="Arial" w:cs="Arial"/>
        </w:rPr>
        <w:t xml:space="preserve"> </w:t>
      </w:r>
    </w:p>
    <w:p w14:paraId="14F281C1" w14:textId="77777777" w:rsidR="00D17F35" w:rsidRDefault="00D17F35" w:rsidP="00D17F35">
      <w:pPr>
        <w:jc w:val="both"/>
        <w:rPr>
          <w:rFonts w:ascii="Arial" w:hAnsi="Arial" w:cs="Arial"/>
        </w:rPr>
      </w:pPr>
    </w:p>
    <w:p w14:paraId="6346AA18" w14:textId="39CFE042" w:rsidR="00D17F35" w:rsidRPr="000D47A0" w:rsidRDefault="00D17F35" w:rsidP="00D17F35">
      <w:pPr>
        <w:jc w:val="both"/>
        <w:rPr>
          <w:rFonts w:ascii="Arial" w:hAnsi="Arial" w:cs="Arial"/>
        </w:rPr>
      </w:pPr>
      <w:r>
        <w:rPr>
          <w:rFonts w:ascii="Arial" w:hAnsi="Arial" w:cs="Arial"/>
        </w:rPr>
        <w:t>Proyectó: Alexander Riascos Oñate.</w:t>
      </w:r>
    </w:p>
    <w:p w14:paraId="5023317F" w14:textId="10CDDD4A" w:rsidR="00850495" w:rsidRPr="00850495" w:rsidRDefault="00850495" w:rsidP="00D17F35">
      <w:pPr>
        <w:jc w:val="both"/>
        <w:rPr>
          <w:rFonts w:ascii="Arial" w:hAnsi="Arial" w:cs="Arial"/>
        </w:rPr>
      </w:pPr>
    </w:p>
    <w:sectPr w:rsidR="00850495" w:rsidRPr="0085049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921"/>
    <w:multiLevelType w:val="hybridMultilevel"/>
    <w:tmpl w:val="24286D84"/>
    <w:lvl w:ilvl="0" w:tplc="63E6FD40">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6B9748A"/>
    <w:multiLevelType w:val="hybridMultilevel"/>
    <w:tmpl w:val="BFB40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41741539">
    <w:abstractNumId w:val="1"/>
  </w:num>
  <w:num w:numId="2" w16cid:durableId="995258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187"/>
    <w:rsid w:val="00051522"/>
    <w:rsid w:val="000D47A0"/>
    <w:rsid w:val="000D78D9"/>
    <w:rsid w:val="001656BD"/>
    <w:rsid w:val="00251F55"/>
    <w:rsid w:val="00355C05"/>
    <w:rsid w:val="004F6165"/>
    <w:rsid w:val="006E1675"/>
    <w:rsid w:val="00710187"/>
    <w:rsid w:val="00850495"/>
    <w:rsid w:val="0085101B"/>
    <w:rsid w:val="00855E5A"/>
    <w:rsid w:val="008D3226"/>
    <w:rsid w:val="00AA2A4D"/>
    <w:rsid w:val="00AC4346"/>
    <w:rsid w:val="00AF652F"/>
    <w:rsid w:val="00BF487D"/>
    <w:rsid w:val="00CD0249"/>
    <w:rsid w:val="00D17F35"/>
    <w:rsid w:val="00DF6E2D"/>
    <w:rsid w:val="00E522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BD9D0"/>
  <w15:chartTrackingRefBased/>
  <w15:docId w15:val="{FD220B62-A0E5-465B-8D83-631D49677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F35"/>
  </w:style>
  <w:style w:type="paragraph" w:styleId="Ttulo1">
    <w:name w:val="heading 1"/>
    <w:basedOn w:val="Normal"/>
    <w:next w:val="Normal"/>
    <w:link w:val="Ttulo1Car"/>
    <w:uiPriority w:val="9"/>
    <w:qFormat/>
    <w:rsid w:val="007101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101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1018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1018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1018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1018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1018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1018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1018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1018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1018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1018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1018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1018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1018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1018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1018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10187"/>
    <w:rPr>
      <w:rFonts w:eastAsiaTheme="majorEastAsia" w:cstheme="majorBidi"/>
      <w:color w:val="272727" w:themeColor="text1" w:themeTint="D8"/>
    </w:rPr>
  </w:style>
  <w:style w:type="paragraph" w:styleId="Ttulo">
    <w:name w:val="Title"/>
    <w:basedOn w:val="Normal"/>
    <w:next w:val="Normal"/>
    <w:link w:val="TtuloCar"/>
    <w:uiPriority w:val="10"/>
    <w:qFormat/>
    <w:rsid w:val="007101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1018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1018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1018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10187"/>
    <w:pPr>
      <w:spacing w:before="160"/>
      <w:jc w:val="center"/>
    </w:pPr>
    <w:rPr>
      <w:i/>
      <w:iCs/>
      <w:color w:val="404040" w:themeColor="text1" w:themeTint="BF"/>
    </w:rPr>
  </w:style>
  <w:style w:type="character" w:customStyle="1" w:styleId="CitaCar">
    <w:name w:val="Cita Car"/>
    <w:basedOn w:val="Fuentedeprrafopredeter"/>
    <w:link w:val="Cita"/>
    <w:uiPriority w:val="29"/>
    <w:rsid w:val="00710187"/>
    <w:rPr>
      <w:i/>
      <w:iCs/>
      <w:color w:val="404040" w:themeColor="text1" w:themeTint="BF"/>
    </w:rPr>
  </w:style>
  <w:style w:type="paragraph" w:styleId="Prrafodelista">
    <w:name w:val="List Paragraph"/>
    <w:basedOn w:val="Normal"/>
    <w:uiPriority w:val="34"/>
    <w:qFormat/>
    <w:rsid w:val="00710187"/>
    <w:pPr>
      <w:ind w:left="720"/>
      <w:contextualSpacing/>
    </w:pPr>
  </w:style>
  <w:style w:type="character" w:styleId="nfasisintenso">
    <w:name w:val="Intense Emphasis"/>
    <w:basedOn w:val="Fuentedeprrafopredeter"/>
    <w:uiPriority w:val="21"/>
    <w:qFormat/>
    <w:rsid w:val="00710187"/>
    <w:rPr>
      <w:i/>
      <w:iCs/>
      <w:color w:val="0F4761" w:themeColor="accent1" w:themeShade="BF"/>
    </w:rPr>
  </w:style>
  <w:style w:type="paragraph" w:styleId="Citadestacada">
    <w:name w:val="Intense Quote"/>
    <w:basedOn w:val="Normal"/>
    <w:next w:val="Normal"/>
    <w:link w:val="CitadestacadaCar"/>
    <w:uiPriority w:val="30"/>
    <w:qFormat/>
    <w:rsid w:val="007101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10187"/>
    <w:rPr>
      <w:i/>
      <w:iCs/>
      <w:color w:val="0F4761" w:themeColor="accent1" w:themeShade="BF"/>
    </w:rPr>
  </w:style>
  <w:style w:type="character" w:styleId="Referenciaintensa">
    <w:name w:val="Intense Reference"/>
    <w:basedOn w:val="Fuentedeprrafopredeter"/>
    <w:uiPriority w:val="32"/>
    <w:qFormat/>
    <w:rsid w:val="0071018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337857">
      <w:bodyDiv w:val="1"/>
      <w:marLeft w:val="0"/>
      <w:marRight w:val="0"/>
      <w:marTop w:val="0"/>
      <w:marBottom w:val="0"/>
      <w:divBdr>
        <w:top w:val="none" w:sz="0" w:space="0" w:color="auto"/>
        <w:left w:val="none" w:sz="0" w:space="0" w:color="auto"/>
        <w:bottom w:val="none" w:sz="0" w:space="0" w:color="auto"/>
        <w:right w:val="none" w:sz="0" w:space="0" w:color="auto"/>
      </w:divBdr>
      <w:divsChild>
        <w:div w:id="357396827">
          <w:marLeft w:val="0"/>
          <w:marRight w:val="0"/>
          <w:marTop w:val="0"/>
          <w:marBottom w:val="0"/>
          <w:divBdr>
            <w:top w:val="none" w:sz="0" w:space="0" w:color="auto"/>
            <w:left w:val="none" w:sz="0" w:space="0" w:color="auto"/>
            <w:bottom w:val="none" w:sz="0" w:space="0" w:color="auto"/>
            <w:right w:val="none" w:sz="0" w:space="0" w:color="auto"/>
          </w:divBdr>
        </w:div>
        <w:div w:id="1452624426">
          <w:marLeft w:val="0"/>
          <w:marRight w:val="0"/>
          <w:marTop w:val="0"/>
          <w:marBottom w:val="0"/>
          <w:divBdr>
            <w:top w:val="none" w:sz="0" w:space="0" w:color="auto"/>
            <w:left w:val="none" w:sz="0" w:space="0" w:color="auto"/>
            <w:bottom w:val="none" w:sz="0" w:space="0" w:color="auto"/>
            <w:right w:val="none" w:sz="0" w:space="0" w:color="auto"/>
          </w:divBdr>
        </w:div>
        <w:div w:id="1413159575">
          <w:marLeft w:val="0"/>
          <w:marRight w:val="0"/>
          <w:marTop w:val="0"/>
          <w:marBottom w:val="0"/>
          <w:divBdr>
            <w:top w:val="none" w:sz="0" w:space="0" w:color="auto"/>
            <w:left w:val="none" w:sz="0" w:space="0" w:color="auto"/>
            <w:bottom w:val="none" w:sz="0" w:space="0" w:color="auto"/>
            <w:right w:val="none" w:sz="0" w:space="0" w:color="auto"/>
          </w:divBdr>
        </w:div>
      </w:divsChild>
    </w:div>
    <w:div w:id="984509378">
      <w:bodyDiv w:val="1"/>
      <w:marLeft w:val="0"/>
      <w:marRight w:val="0"/>
      <w:marTop w:val="0"/>
      <w:marBottom w:val="0"/>
      <w:divBdr>
        <w:top w:val="none" w:sz="0" w:space="0" w:color="auto"/>
        <w:left w:val="none" w:sz="0" w:space="0" w:color="auto"/>
        <w:bottom w:val="none" w:sz="0" w:space="0" w:color="auto"/>
        <w:right w:val="none" w:sz="0" w:space="0" w:color="auto"/>
      </w:divBdr>
      <w:divsChild>
        <w:div w:id="1066029539">
          <w:marLeft w:val="0"/>
          <w:marRight w:val="0"/>
          <w:marTop w:val="0"/>
          <w:marBottom w:val="0"/>
          <w:divBdr>
            <w:top w:val="none" w:sz="0" w:space="0" w:color="auto"/>
            <w:left w:val="none" w:sz="0" w:space="0" w:color="auto"/>
            <w:bottom w:val="none" w:sz="0" w:space="0" w:color="auto"/>
            <w:right w:val="none" w:sz="0" w:space="0" w:color="auto"/>
          </w:divBdr>
        </w:div>
        <w:div w:id="521553327">
          <w:marLeft w:val="0"/>
          <w:marRight w:val="0"/>
          <w:marTop w:val="0"/>
          <w:marBottom w:val="0"/>
          <w:divBdr>
            <w:top w:val="none" w:sz="0" w:space="0" w:color="auto"/>
            <w:left w:val="none" w:sz="0" w:space="0" w:color="auto"/>
            <w:bottom w:val="none" w:sz="0" w:space="0" w:color="auto"/>
            <w:right w:val="none" w:sz="0" w:space="0" w:color="auto"/>
          </w:divBdr>
        </w:div>
        <w:div w:id="16164502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3</Pages>
  <Words>1361</Words>
  <Characters>7487</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Jhony Alexander Riascos Oñate</dc:creator>
  <cp:keywords/>
  <dc:description/>
  <cp:lastModifiedBy>Jhony Alexander Riascos Oñate</cp:lastModifiedBy>
  <cp:revision>4</cp:revision>
  <dcterms:created xsi:type="dcterms:W3CDTF">2025-04-29T15:31:00Z</dcterms:created>
  <dcterms:modified xsi:type="dcterms:W3CDTF">2025-05-22T20:22:00Z</dcterms:modified>
</cp:coreProperties>
</file>